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CFC" w:rsidRPr="004E58AF" w:rsidRDefault="006C3CFC" w:rsidP="00C178B3">
      <w:pPr>
        <w:spacing w:line="276" w:lineRule="auto"/>
        <w:ind w:left="709" w:hanging="709"/>
        <w:jc w:val="center"/>
        <w:rPr>
          <w:rFonts w:ascii="Arial" w:hAnsi="Arial" w:cs="Arial"/>
          <w:b/>
          <w:sz w:val="22"/>
          <w:szCs w:val="22"/>
        </w:rPr>
      </w:pPr>
    </w:p>
    <w:p w:rsidR="006C3CFC" w:rsidRPr="004E58AF" w:rsidRDefault="006C3CFC" w:rsidP="00C178B3">
      <w:pPr>
        <w:spacing w:line="276" w:lineRule="auto"/>
        <w:ind w:left="709" w:hanging="709"/>
        <w:jc w:val="center"/>
        <w:rPr>
          <w:rFonts w:ascii="Arial" w:hAnsi="Arial" w:cs="Arial"/>
          <w:b/>
          <w:sz w:val="22"/>
          <w:szCs w:val="22"/>
          <w:u w:val="single"/>
        </w:rPr>
      </w:pPr>
    </w:p>
    <w:p w:rsidR="006C3CFC" w:rsidRPr="004E58AF" w:rsidRDefault="006C3CFC" w:rsidP="004E58AF">
      <w:pPr>
        <w:spacing w:line="276" w:lineRule="auto"/>
        <w:ind w:left="709" w:hanging="709"/>
        <w:jc w:val="center"/>
        <w:rPr>
          <w:rFonts w:ascii="Arial" w:hAnsi="Arial" w:cs="Arial"/>
          <w:b/>
          <w:sz w:val="22"/>
          <w:szCs w:val="22"/>
          <w:u w:val="single"/>
        </w:rPr>
      </w:pPr>
    </w:p>
    <w:p w:rsidR="006C3CFC" w:rsidRPr="004E58AF" w:rsidRDefault="006C3CFC" w:rsidP="004E58AF">
      <w:pPr>
        <w:spacing w:line="276" w:lineRule="auto"/>
        <w:ind w:left="709" w:hanging="709"/>
        <w:jc w:val="center"/>
        <w:rPr>
          <w:rFonts w:ascii="Arial" w:hAnsi="Arial" w:cs="Arial"/>
          <w:b/>
          <w:sz w:val="22"/>
          <w:szCs w:val="22"/>
          <w:u w:val="single"/>
        </w:rPr>
      </w:pPr>
      <w:r w:rsidRPr="004E58AF">
        <w:rPr>
          <w:rFonts w:ascii="Arial" w:hAnsi="Arial" w:cs="Arial"/>
          <w:b/>
          <w:sz w:val="22"/>
          <w:szCs w:val="22"/>
          <w:u w:val="single"/>
        </w:rPr>
        <w:t>ANEXO CONTRATO: RECOMENDACIONES</w:t>
      </w:r>
    </w:p>
    <w:p w:rsidR="006C3CFC" w:rsidRPr="004E58AF" w:rsidRDefault="006C3CFC" w:rsidP="00C178B3">
      <w:pPr>
        <w:spacing w:line="276" w:lineRule="auto"/>
        <w:ind w:left="709" w:hanging="709"/>
        <w:jc w:val="center"/>
        <w:rPr>
          <w:rFonts w:ascii="Arial" w:hAnsi="Arial" w:cs="Arial"/>
          <w:b/>
          <w:sz w:val="22"/>
          <w:szCs w:val="22"/>
        </w:rPr>
      </w:pPr>
    </w:p>
    <w:p w:rsidR="006C3CFC" w:rsidRPr="004E58AF" w:rsidRDefault="006C3CFC" w:rsidP="00C178B3">
      <w:pPr>
        <w:spacing w:line="276" w:lineRule="auto"/>
        <w:ind w:left="709" w:hanging="709"/>
        <w:rPr>
          <w:rFonts w:ascii="Arial" w:hAnsi="Arial" w:cs="Arial"/>
          <w:b/>
          <w:sz w:val="22"/>
          <w:szCs w:val="22"/>
        </w:rPr>
      </w:pPr>
    </w:p>
    <w:p w:rsidR="006C3CFC" w:rsidRPr="004E58AF" w:rsidRDefault="006C3CFC" w:rsidP="00C178B3">
      <w:pPr>
        <w:spacing w:line="276" w:lineRule="auto"/>
        <w:ind w:left="709" w:hanging="709"/>
        <w:rPr>
          <w:rFonts w:ascii="Arial" w:hAnsi="Arial" w:cs="Arial"/>
          <w:sz w:val="22"/>
          <w:szCs w:val="22"/>
        </w:rPr>
      </w:pPr>
      <w:r w:rsidRPr="004E58AF">
        <w:rPr>
          <w:rFonts w:ascii="Arial" w:hAnsi="Arial" w:cs="Arial"/>
          <w:sz w:val="22"/>
          <w:szCs w:val="22"/>
        </w:rPr>
        <w:t>AVISO TÉRMINO DE CONTRATO DE ARRIENDO:</w:t>
      </w:r>
    </w:p>
    <w:p w:rsidR="006C3CFC" w:rsidRPr="004E58AF" w:rsidRDefault="006C3CFC" w:rsidP="00C178B3">
      <w:pPr>
        <w:numPr>
          <w:ilvl w:val="1"/>
          <w:numId w:val="1"/>
        </w:numPr>
        <w:spacing w:line="276" w:lineRule="auto"/>
        <w:ind w:left="709" w:hanging="709"/>
        <w:jc w:val="both"/>
        <w:rPr>
          <w:rFonts w:ascii="Arial" w:hAnsi="Arial" w:cs="Arial"/>
          <w:sz w:val="22"/>
          <w:szCs w:val="22"/>
        </w:rPr>
      </w:pPr>
      <w:r w:rsidRPr="004E58AF">
        <w:rPr>
          <w:rFonts w:ascii="Arial" w:hAnsi="Arial" w:cs="Arial"/>
          <w:sz w:val="22"/>
          <w:szCs w:val="22"/>
        </w:rPr>
        <w:t xml:space="preserve">Es sumamente importante destacar que, independiente de si la fecha en que se entrega el departamento es dentro del período de vigencia del contrato, o posterior a la primera renovación, se debe dar aviso </w:t>
      </w:r>
      <w:r w:rsidRPr="004E58AF">
        <w:rPr>
          <w:rFonts w:ascii="Arial" w:hAnsi="Arial" w:cs="Arial"/>
          <w:b/>
          <w:sz w:val="22"/>
          <w:szCs w:val="22"/>
        </w:rPr>
        <w:t>SIEMPRE</w:t>
      </w:r>
      <w:r w:rsidRPr="004E58AF">
        <w:rPr>
          <w:rFonts w:ascii="Arial" w:hAnsi="Arial" w:cs="Arial"/>
          <w:sz w:val="22"/>
          <w:szCs w:val="22"/>
        </w:rPr>
        <w:t xml:space="preserve"> con 45 días de anticipación que se le dará término al contrato de arrendamiento con carta tipo que le será enviada por </w:t>
      </w:r>
      <w:smartTag w:uri="urn:schemas-microsoft-com:office:smarttags" w:element="PersonName">
        <w:smartTagPr>
          <w:attr w:name="ProductID" w:val="la Corredora"/>
        </w:smartTagPr>
        <w:r w:rsidRPr="004E58AF">
          <w:rPr>
            <w:rFonts w:ascii="Arial" w:hAnsi="Arial" w:cs="Arial"/>
            <w:sz w:val="22"/>
            <w:szCs w:val="22"/>
          </w:rPr>
          <w:t>la Corredora</w:t>
        </w:r>
      </w:smartTag>
      <w:r w:rsidRPr="004E58AF">
        <w:rPr>
          <w:rFonts w:ascii="Arial" w:hAnsi="Arial" w:cs="Arial"/>
          <w:sz w:val="22"/>
          <w:szCs w:val="22"/>
        </w:rPr>
        <w:t xml:space="preserve"> una vez solicitada.</w:t>
      </w:r>
    </w:p>
    <w:p w:rsidR="006C3CFC" w:rsidRPr="004E58AF" w:rsidRDefault="006C3CFC" w:rsidP="00C178B3">
      <w:pPr>
        <w:spacing w:line="276" w:lineRule="auto"/>
        <w:ind w:left="709" w:hanging="709"/>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r w:rsidRPr="004E58AF">
        <w:rPr>
          <w:rFonts w:ascii="Arial" w:hAnsi="Arial" w:cs="Arial"/>
          <w:sz w:val="22"/>
          <w:szCs w:val="22"/>
        </w:rPr>
        <w:t>PROCEDIMIENTO DE ENTREGA DEL DEPARTAMENTO:</w:t>
      </w:r>
    </w:p>
    <w:p w:rsidR="006C3CFC" w:rsidRPr="004E58AF" w:rsidRDefault="006C3CFC" w:rsidP="00C178B3">
      <w:pPr>
        <w:numPr>
          <w:ilvl w:val="1"/>
          <w:numId w:val="1"/>
        </w:numPr>
        <w:spacing w:line="276" w:lineRule="auto"/>
        <w:ind w:left="709" w:hanging="709"/>
        <w:jc w:val="both"/>
        <w:rPr>
          <w:rFonts w:ascii="Arial" w:hAnsi="Arial" w:cs="Arial"/>
          <w:sz w:val="22"/>
          <w:szCs w:val="22"/>
        </w:rPr>
      </w:pPr>
      <w:r w:rsidRPr="004E58AF">
        <w:rPr>
          <w:rFonts w:ascii="Arial" w:hAnsi="Arial" w:cs="Arial"/>
          <w:sz w:val="22"/>
          <w:szCs w:val="22"/>
        </w:rPr>
        <w:t xml:space="preserve">Se recomienda que al menos una semana antes de que se cumpla la fecha de entrega del departamento, dirigirse a la oficina de TYC con el respaldo de los comprobantes de todas las cuentas de servicio: agua, luz, gas, telefonía por cable e internet, aseo municipal y con </w:t>
      </w:r>
      <w:r w:rsidRPr="004E58AF">
        <w:rPr>
          <w:rFonts w:ascii="Arial" w:hAnsi="Arial" w:cs="Arial"/>
          <w:b/>
          <w:sz w:val="22"/>
          <w:szCs w:val="22"/>
        </w:rPr>
        <w:t>TODOS</w:t>
      </w:r>
      <w:r w:rsidRPr="004E58AF">
        <w:rPr>
          <w:rFonts w:ascii="Arial" w:hAnsi="Arial" w:cs="Arial"/>
          <w:sz w:val="22"/>
          <w:szCs w:val="22"/>
        </w:rPr>
        <w:t xml:space="preserve"> los comprobantes de gastos comunes se encuentran debidamente pagadas y al día. Lo anterior con el objeto de facilitar el proceso por parte nuestra de entrega del certificado con el cual se puede obtener el debido salvo conducto en Notaría, el cual es solicitado tanto por conserjería como por Carabineros al momento del traslado de sus enseres. Luego se coordina la fecha de entrega del departamento junto con las llaves, en donde nosotros llevamos un acta de recepción (2 copias, una para la corredora y otra para el arrendatario) y en esta queda estipulado el estado tanto físico como de cuentas en que se está entregando el departamento.</w:t>
      </w:r>
    </w:p>
    <w:p w:rsidR="006C3CFC" w:rsidRPr="004E58AF" w:rsidRDefault="006C3CFC" w:rsidP="00C178B3">
      <w:pPr>
        <w:spacing w:line="276" w:lineRule="auto"/>
        <w:ind w:left="709" w:hanging="709"/>
        <w:rPr>
          <w:rFonts w:ascii="Arial" w:hAnsi="Arial" w:cs="Arial"/>
          <w:sz w:val="22"/>
          <w:szCs w:val="22"/>
        </w:rPr>
      </w:pPr>
    </w:p>
    <w:p w:rsidR="006C3CFC" w:rsidRPr="004E58AF" w:rsidRDefault="006C3CFC" w:rsidP="00C178B3">
      <w:pPr>
        <w:spacing w:line="276" w:lineRule="auto"/>
        <w:ind w:left="709" w:hanging="709"/>
        <w:rPr>
          <w:rFonts w:ascii="Arial" w:hAnsi="Arial" w:cs="Arial"/>
          <w:sz w:val="22"/>
          <w:szCs w:val="22"/>
        </w:rPr>
      </w:pPr>
      <w:r w:rsidRPr="004E58AF">
        <w:rPr>
          <w:rFonts w:ascii="Arial" w:hAnsi="Arial" w:cs="Arial"/>
          <w:sz w:val="22"/>
          <w:szCs w:val="22"/>
        </w:rPr>
        <w:t xml:space="preserve">DEVOLUCION DEL MES DE GARANTIA: </w:t>
      </w:r>
    </w:p>
    <w:p w:rsidR="006C3CFC" w:rsidRPr="004E58AF" w:rsidRDefault="006C3CFC" w:rsidP="00C178B3">
      <w:pPr>
        <w:numPr>
          <w:ilvl w:val="1"/>
          <w:numId w:val="1"/>
        </w:numPr>
        <w:spacing w:line="276" w:lineRule="auto"/>
        <w:ind w:left="709" w:hanging="709"/>
        <w:jc w:val="both"/>
        <w:rPr>
          <w:rFonts w:ascii="Arial" w:hAnsi="Arial" w:cs="Arial"/>
          <w:sz w:val="22"/>
          <w:szCs w:val="22"/>
        </w:rPr>
      </w:pPr>
      <w:r w:rsidRPr="004E58AF">
        <w:rPr>
          <w:rFonts w:ascii="Arial" w:hAnsi="Arial" w:cs="Arial"/>
          <w:sz w:val="22"/>
          <w:szCs w:val="22"/>
        </w:rPr>
        <w:t>Cabe hacer notar que el mes de garantía entregado al propietario del departamento, no se puede imputar como pago de rentas insolutas ni el arriendo del último mes que permanezca el arrendatario en dicha propiedad. El mes de garantía tiene como finalidad pagar las cuentas pendientes de pago del último mes vivido en la propiedad por el arrendatario (agua, luz, gas, aseo municipal, telefonía por cable e internet, gasto común y limpieza), ya que llegan con desfase de al menos 15 días, como así mismo para daños causados en la propiedad y que se deduzcan del inventario que es parte integrante de este contrato.</w:t>
      </w:r>
    </w:p>
    <w:p w:rsidR="006C3CFC" w:rsidRPr="004E58AF" w:rsidRDefault="006C3CFC" w:rsidP="00C178B3">
      <w:pPr>
        <w:numPr>
          <w:ilvl w:val="1"/>
          <w:numId w:val="1"/>
        </w:numPr>
        <w:spacing w:line="276" w:lineRule="auto"/>
        <w:ind w:left="709" w:hanging="709"/>
        <w:jc w:val="both"/>
        <w:rPr>
          <w:rFonts w:ascii="Arial" w:hAnsi="Arial" w:cs="Arial"/>
          <w:sz w:val="22"/>
          <w:szCs w:val="22"/>
        </w:rPr>
      </w:pPr>
      <w:r w:rsidRPr="004E58AF">
        <w:rPr>
          <w:rFonts w:ascii="Arial" w:hAnsi="Arial" w:cs="Arial"/>
          <w:sz w:val="22"/>
          <w:szCs w:val="22"/>
        </w:rPr>
        <w:t xml:space="preserve">El mes de garantía se devuelve 30 días después de entregado el departamento justamente por lo anteriormente señalado. </w:t>
      </w: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r w:rsidRPr="004E58AF">
        <w:rPr>
          <w:rFonts w:ascii="Arial" w:hAnsi="Arial" w:cs="Arial"/>
          <w:sz w:val="22"/>
          <w:szCs w:val="22"/>
        </w:rPr>
        <w:t>PREVENCION DE ROBOS:</w:t>
      </w:r>
    </w:p>
    <w:p w:rsidR="006C3CFC" w:rsidRPr="004E58AF" w:rsidRDefault="006C3CFC" w:rsidP="00C178B3">
      <w:pPr>
        <w:numPr>
          <w:ilvl w:val="1"/>
          <w:numId w:val="1"/>
        </w:numPr>
        <w:tabs>
          <w:tab w:val="clear" w:pos="1440"/>
        </w:tabs>
        <w:spacing w:line="276" w:lineRule="auto"/>
        <w:ind w:left="709" w:hanging="709"/>
        <w:jc w:val="both"/>
        <w:rPr>
          <w:rFonts w:ascii="Arial" w:hAnsi="Arial" w:cs="Arial"/>
          <w:sz w:val="22"/>
          <w:szCs w:val="22"/>
        </w:rPr>
      </w:pPr>
      <w:r w:rsidRPr="004E58AF">
        <w:rPr>
          <w:rFonts w:ascii="Arial" w:hAnsi="Arial" w:cs="Arial"/>
          <w:sz w:val="22"/>
          <w:szCs w:val="22"/>
        </w:rPr>
        <w:t xml:space="preserve">Recomendamos desde un principio poner segunda chapa de seguridad en puerta o al menos el cambio del cilindro de la combinación actual, esto debido a que el robo o el intento de robo </w:t>
      </w:r>
      <w:r w:rsidRPr="004E58AF">
        <w:rPr>
          <w:rFonts w:ascii="Arial" w:hAnsi="Arial" w:cs="Arial"/>
          <w:b/>
          <w:sz w:val="22"/>
          <w:szCs w:val="22"/>
        </w:rPr>
        <w:t>No</w:t>
      </w:r>
      <w:r w:rsidRPr="004E58AF">
        <w:rPr>
          <w:rFonts w:ascii="Arial" w:hAnsi="Arial" w:cs="Arial"/>
          <w:sz w:val="22"/>
          <w:szCs w:val="22"/>
        </w:rPr>
        <w:t xml:space="preserve"> es causal de término de contrato de arriendo.</w:t>
      </w:r>
    </w:p>
    <w:p w:rsidR="006C3CFC" w:rsidRDefault="006C3CFC" w:rsidP="004E58AF">
      <w:pPr>
        <w:spacing w:line="276" w:lineRule="auto"/>
        <w:ind w:left="709"/>
        <w:jc w:val="both"/>
        <w:rPr>
          <w:rFonts w:ascii="Arial" w:hAnsi="Arial" w:cs="Arial"/>
          <w:sz w:val="22"/>
          <w:szCs w:val="22"/>
        </w:rPr>
      </w:pPr>
    </w:p>
    <w:p w:rsidR="006C3CFC" w:rsidRDefault="006C3CFC" w:rsidP="004E58AF">
      <w:pPr>
        <w:spacing w:line="276" w:lineRule="auto"/>
        <w:ind w:left="1080"/>
        <w:jc w:val="both"/>
        <w:rPr>
          <w:rFonts w:ascii="Arial" w:hAnsi="Arial" w:cs="Arial"/>
          <w:sz w:val="22"/>
          <w:szCs w:val="22"/>
        </w:rPr>
      </w:pPr>
    </w:p>
    <w:p w:rsidR="006C3CFC" w:rsidRDefault="006C3CFC" w:rsidP="004E58AF">
      <w:pPr>
        <w:spacing w:line="276" w:lineRule="auto"/>
        <w:ind w:left="709"/>
        <w:jc w:val="both"/>
        <w:rPr>
          <w:rFonts w:ascii="Arial" w:hAnsi="Arial" w:cs="Arial"/>
          <w:sz w:val="22"/>
          <w:szCs w:val="22"/>
        </w:rPr>
      </w:pPr>
    </w:p>
    <w:p w:rsidR="006C3CFC" w:rsidRDefault="006C3CFC" w:rsidP="004E58AF">
      <w:pPr>
        <w:spacing w:line="276" w:lineRule="auto"/>
        <w:ind w:left="709"/>
        <w:jc w:val="both"/>
        <w:rPr>
          <w:rFonts w:ascii="Arial" w:hAnsi="Arial" w:cs="Arial"/>
          <w:sz w:val="22"/>
          <w:szCs w:val="22"/>
        </w:rPr>
      </w:pPr>
    </w:p>
    <w:p w:rsidR="006C3CFC" w:rsidRPr="004E58AF" w:rsidRDefault="006C3CFC" w:rsidP="00C178B3">
      <w:pPr>
        <w:numPr>
          <w:ilvl w:val="1"/>
          <w:numId w:val="1"/>
        </w:numPr>
        <w:tabs>
          <w:tab w:val="clear" w:pos="1440"/>
        </w:tabs>
        <w:spacing w:line="276" w:lineRule="auto"/>
        <w:ind w:left="709" w:hanging="709"/>
        <w:jc w:val="both"/>
        <w:rPr>
          <w:rFonts w:ascii="Arial" w:hAnsi="Arial" w:cs="Arial"/>
          <w:sz w:val="22"/>
          <w:szCs w:val="22"/>
        </w:rPr>
      </w:pPr>
      <w:r w:rsidRPr="004E58AF">
        <w:rPr>
          <w:rFonts w:ascii="Arial" w:hAnsi="Arial" w:cs="Arial"/>
          <w:sz w:val="22"/>
          <w:szCs w:val="22"/>
        </w:rPr>
        <w:t>Adicionalmente se recomienda en el caso de que se mantenga cosas de valor en el departamento, tomar un seguro contra robo en cualquier institución para evitar mayores traumas por el evento.</w:t>
      </w:r>
    </w:p>
    <w:p w:rsidR="006C3CFC" w:rsidRPr="004E58AF" w:rsidRDefault="006C3CFC" w:rsidP="004E58AF">
      <w:pPr>
        <w:numPr>
          <w:ilvl w:val="1"/>
          <w:numId w:val="1"/>
        </w:numPr>
        <w:tabs>
          <w:tab w:val="clear" w:pos="1440"/>
        </w:tabs>
        <w:spacing w:line="276" w:lineRule="auto"/>
        <w:ind w:left="709" w:hanging="709"/>
        <w:jc w:val="both"/>
        <w:rPr>
          <w:rFonts w:ascii="Arial" w:hAnsi="Arial" w:cs="Arial"/>
          <w:sz w:val="22"/>
          <w:szCs w:val="22"/>
        </w:rPr>
      </w:pPr>
      <w:r w:rsidRPr="004E58AF">
        <w:rPr>
          <w:rFonts w:ascii="Arial" w:hAnsi="Arial" w:cs="Arial"/>
          <w:sz w:val="22"/>
          <w:szCs w:val="22"/>
        </w:rPr>
        <w:t>Los gastos de lo anterior corre por cuenta del arrendatario.</w:t>
      </w: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r w:rsidRPr="004E58AF">
        <w:rPr>
          <w:rFonts w:ascii="Arial" w:hAnsi="Arial" w:cs="Arial"/>
          <w:sz w:val="22"/>
          <w:szCs w:val="22"/>
        </w:rPr>
        <w:t>ASEO MUNICIPAL:</w:t>
      </w:r>
    </w:p>
    <w:p w:rsidR="006C3CFC" w:rsidRPr="004E58AF" w:rsidRDefault="006C3CFC" w:rsidP="00C178B3">
      <w:pPr>
        <w:numPr>
          <w:ilvl w:val="1"/>
          <w:numId w:val="1"/>
        </w:numPr>
        <w:tabs>
          <w:tab w:val="clear" w:pos="1440"/>
        </w:tabs>
        <w:spacing w:line="276" w:lineRule="auto"/>
        <w:ind w:left="709" w:hanging="709"/>
        <w:jc w:val="both"/>
        <w:rPr>
          <w:rFonts w:ascii="Arial" w:hAnsi="Arial" w:cs="Arial"/>
          <w:sz w:val="22"/>
          <w:szCs w:val="22"/>
        </w:rPr>
      </w:pPr>
      <w:r w:rsidRPr="004E58AF">
        <w:rPr>
          <w:rFonts w:ascii="Arial" w:hAnsi="Arial" w:cs="Arial"/>
          <w:sz w:val="22"/>
          <w:szCs w:val="22"/>
        </w:rPr>
        <w:t xml:space="preserve">El arrendatario tiene la obligación de pagar </w:t>
      </w:r>
      <w:r w:rsidRPr="004E58AF">
        <w:rPr>
          <w:rFonts w:ascii="Arial" w:hAnsi="Arial" w:cs="Arial"/>
          <w:b/>
          <w:sz w:val="22"/>
          <w:szCs w:val="22"/>
        </w:rPr>
        <w:t>Aseo Municipal</w:t>
      </w:r>
      <w:r w:rsidRPr="004E58AF">
        <w:rPr>
          <w:rFonts w:ascii="Arial" w:hAnsi="Arial" w:cs="Arial"/>
          <w:sz w:val="22"/>
          <w:szCs w:val="22"/>
        </w:rPr>
        <w:t xml:space="preserve"> en los meses que se encuentre habitando el departamento, corresponde al pago a la municipalidad por retirar la basura de los residentes de cada edificio. Este cobro se paga 4 veces al año, y el comprobante de cobro llega 2 veces al año: el primero en el mes de Abril (correspondiente a la cuota 1 que vence el 30 de abril y la cuota 2 que vence el 30 de junio) y el segundo en el mes de Septiembre (correspondiente a la cuota 3 que vence el 30 de Septiembre y la cuota 4 que vence el 30 de noviembre).</w:t>
      </w: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r w:rsidRPr="004E58AF">
        <w:rPr>
          <w:rFonts w:ascii="Arial" w:hAnsi="Arial" w:cs="Arial"/>
          <w:sz w:val="22"/>
          <w:szCs w:val="22"/>
        </w:rPr>
        <w:t>LAVADORA:</w:t>
      </w:r>
    </w:p>
    <w:p w:rsidR="006C3CFC" w:rsidRPr="004E58AF" w:rsidRDefault="006C3CFC" w:rsidP="00C178B3">
      <w:pPr>
        <w:numPr>
          <w:ilvl w:val="1"/>
          <w:numId w:val="1"/>
        </w:numPr>
        <w:tabs>
          <w:tab w:val="clear" w:pos="1440"/>
        </w:tabs>
        <w:spacing w:line="276" w:lineRule="auto"/>
        <w:ind w:left="709" w:hanging="709"/>
        <w:jc w:val="both"/>
        <w:rPr>
          <w:rFonts w:ascii="Arial" w:hAnsi="Arial" w:cs="Arial"/>
          <w:sz w:val="22"/>
          <w:szCs w:val="22"/>
        </w:rPr>
      </w:pPr>
      <w:r w:rsidRPr="004E58AF">
        <w:rPr>
          <w:rFonts w:ascii="Arial" w:hAnsi="Arial" w:cs="Arial"/>
          <w:sz w:val="22"/>
          <w:szCs w:val="22"/>
        </w:rPr>
        <w:t>En el caso que su departamento cuente con espacio para lavadora, y no cuente con las instalaciones de llaves para su utilización, se recomienda como medida de precaución que tome los servicios de un especialista para su instalación, esto debido a que cualquier problema de filtración que provoque dicha instalación en el o los departamentos de más abajo será de exclusiva responsabilidad del arrendatario, quien tendrá que costear cualquier reparación de daños provocados por este evento en las otras propiedades.</w:t>
      </w: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r w:rsidRPr="004E58AF">
        <w:rPr>
          <w:rFonts w:ascii="Arial" w:hAnsi="Arial" w:cs="Arial"/>
          <w:sz w:val="22"/>
          <w:szCs w:val="22"/>
        </w:rPr>
        <w:t>MULTAS:</w:t>
      </w:r>
    </w:p>
    <w:p w:rsidR="006C3CFC" w:rsidRPr="004E58AF" w:rsidRDefault="006C3CFC" w:rsidP="00C178B3">
      <w:pPr>
        <w:numPr>
          <w:ilvl w:val="1"/>
          <w:numId w:val="1"/>
        </w:numPr>
        <w:tabs>
          <w:tab w:val="clear" w:pos="1440"/>
        </w:tabs>
        <w:spacing w:line="276" w:lineRule="auto"/>
        <w:ind w:left="709" w:hanging="709"/>
        <w:jc w:val="both"/>
        <w:rPr>
          <w:rFonts w:ascii="Arial" w:hAnsi="Arial" w:cs="Arial"/>
          <w:sz w:val="22"/>
          <w:szCs w:val="22"/>
        </w:rPr>
      </w:pPr>
      <w:r w:rsidRPr="004E58AF">
        <w:rPr>
          <w:rFonts w:ascii="Arial" w:hAnsi="Arial" w:cs="Arial"/>
          <w:sz w:val="22"/>
          <w:szCs w:val="22"/>
        </w:rPr>
        <w:t>Recordamos los motivos que generan multa.</w:t>
      </w:r>
    </w:p>
    <w:p w:rsidR="006C3CFC" w:rsidRPr="004E58AF" w:rsidRDefault="006C3CFC" w:rsidP="00C178B3">
      <w:pPr>
        <w:numPr>
          <w:ilvl w:val="3"/>
          <w:numId w:val="1"/>
        </w:numPr>
        <w:spacing w:line="276" w:lineRule="auto"/>
        <w:ind w:left="709" w:hanging="709"/>
        <w:jc w:val="both"/>
        <w:rPr>
          <w:rFonts w:ascii="Arial" w:hAnsi="Arial" w:cs="Arial"/>
          <w:sz w:val="22"/>
          <w:szCs w:val="22"/>
        </w:rPr>
      </w:pPr>
      <w:r w:rsidRPr="004E58AF">
        <w:rPr>
          <w:rFonts w:ascii="Arial" w:hAnsi="Arial" w:cs="Arial"/>
          <w:sz w:val="22"/>
          <w:szCs w:val="22"/>
        </w:rPr>
        <w:t xml:space="preserve">La fecha de pago de los arriendos son los primeros 3 días de cada mes, y desde el día 5 se comienza a cobrar una multa por morosidad correspondiente a </w:t>
      </w:r>
      <w:r w:rsidRPr="004E58AF">
        <w:rPr>
          <w:rFonts w:ascii="Arial" w:hAnsi="Arial" w:cs="Arial"/>
          <w:b/>
          <w:sz w:val="22"/>
          <w:szCs w:val="22"/>
        </w:rPr>
        <w:t>$3.000.-( Tres mil pesos) diarios.</w:t>
      </w:r>
    </w:p>
    <w:p w:rsidR="006C3CFC" w:rsidRPr="004E58AF" w:rsidRDefault="006C3CFC" w:rsidP="00C178B3">
      <w:pPr>
        <w:numPr>
          <w:ilvl w:val="3"/>
          <w:numId w:val="1"/>
        </w:numPr>
        <w:spacing w:line="276" w:lineRule="auto"/>
        <w:ind w:left="709" w:hanging="709"/>
        <w:jc w:val="both"/>
        <w:rPr>
          <w:rFonts w:ascii="Arial" w:hAnsi="Arial" w:cs="Arial"/>
          <w:sz w:val="22"/>
          <w:szCs w:val="22"/>
        </w:rPr>
      </w:pPr>
      <w:r w:rsidRPr="004E58AF">
        <w:rPr>
          <w:rFonts w:ascii="Arial" w:hAnsi="Arial" w:cs="Arial"/>
          <w:sz w:val="22"/>
          <w:szCs w:val="22"/>
        </w:rPr>
        <w:t>El dar término anticipado al plazo estipulado en el contrato de arriendo, perdiendo el derecho a la devolución de su mes de garantía</w:t>
      </w:r>
      <w:r>
        <w:rPr>
          <w:rFonts w:ascii="Arial" w:hAnsi="Arial" w:cs="Arial"/>
          <w:sz w:val="22"/>
          <w:szCs w:val="22"/>
        </w:rPr>
        <w:t xml:space="preserve"> (solo antes de los 13 primeros meses)</w:t>
      </w:r>
      <w:r w:rsidRPr="004E58AF">
        <w:rPr>
          <w:rFonts w:ascii="Arial" w:hAnsi="Arial" w:cs="Arial"/>
          <w:sz w:val="22"/>
          <w:szCs w:val="22"/>
        </w:rPr>
        <w:t>. Lo anterior implica que todas las cuentas que deberían haber sido descontadas del mes de garantía, deben ser provisionadas por el arrendatario en el momento que concurra a la corredora a solicitar su salvo conducto para sacar sus pertenecías del departamento.</w:t>
      </w:r>
    </w:p>
    <w:p w:rsidR="006C3CFC" w:rsidRPr="004E58AF" w:rsidRDefault="006C3CFC" w:rsidP="00C178B3">
      <w:pPr>
        <w:numPr>
          <w:ilvl w:val="3"/>
          <w:numId w:val="1"/>
        </w:numPr>
        <w:spacing w:line="276" w:lineRule="auto"/>
        <w:ind w:left="709" w:hanging="709"/>
        <w:jc w:val="both"/>
        <w:rPr>
          <w:rFonts w:ascii="Arial" w:hAnsi="Arial" w:cs="Arial"/>
          <w:sz w:val="22"/>
          <w:szCs w:val="22"/>
        </w:rPr>
      </w:pPr>
      <w:r w:rsidRPr="004E58AF">
        <w:rPr>
          <w:rFonts w:ascii="Arial" w:hAnsi="Arial" w:cs="Arial"/>
          <w:sz w:val="22"/>
          <w:szCs w:val="22"/>
        </w:rPr>
        <w:t xml:space="preserve">El dar termino al contrato de arriendo dentro de los meses de </w:t>
      </w:r>
      <w:r w:rsidRPr="004E58AF">
        <w:rPr>
          <w:rFonts w:ascii="Arial" w:hAnsi="Arial" w:cs="Arial"/>
          <w:b/>
          <w:sz w:val="22"/>
          <w:szCs w:val="22"/>
        </w:rPr>
        <w:t>Diciembre</w:t>
      </w:r>
      <w:r w:rsidRPr="004E58AF">
        <w:rPr>
          <w:rFonts w:ascii="Arial" w:hAnsi="Arial" w:cs="Arial"/>
          <w:sz w:val="22"/>
          <w:szCs w:val="22"/>
        </w:rPr>
        <w:t xml:space="preserve">, </w:t>
      </w:r>
      <w:r w:rsidRPr="004E58AF">
        <w:rPr>
          <w:rFonts w:ascii="Arial" w:hAnsi="Arial" w:cs="Arial"/>
          <w:b/>
          <w:sz w:val="22"/>
          <w:szCs w:val="22"/>
        </w:rPr>
        <w:t>Enero</w:t>
      </w:r>
      <w:r w:rsidRPr="004E58AF">
        <w:rPr>
          <w:rFonts w:ascii="Arial" w:hAnsi="Arial" w:cs="Arial"/>
          <w:sz w:val="22"/>
          <w:szCs w:val="22"/>
        </w:rPr>
        <w:t xml:space="preserve"> y </w:t>
      </w:r>
      <w:r w:rsidRPr="004E58AF">
        <w:rPr>
          <w:rFonts w:ascii="Arial" w:hAnsi="Arial" w:cs="Arial"/>
          <w:b/>
          <w:sz w:val="22"/>
          <w:szCs w:val="22"/>
        </w:rPr>
        <w:t>Febrero</w:t>
      </w:r>
      <w:r w:rsidRPr="004E58AF">
        <w:rPr>
          <w:rFonts w:ascii="Arial" w:hAnsi="Arial" w:cs="Arial"/>
          <w:sz w:val="22"/>
          <w:szCs w:val="22"/>
        </w:rPr>
        <w:t xml:space="preserve"> de cualquier período, inclusive posterior al cumplimiento del período mínimo de arriendo estipulado en el contrato, lo que se multará con el equivalente a 3 cánones de arriendo.</w:t>
      </w:r>
    </w:p>
    <w:p w:rsidR="006C3CFC" w:rsidRPr="004E58AF" w:rsidRDefault="006C3CFC" w:rsidP="00C178B3">
      <w:pPr>
        <w:spacing w:line="276" w:lineRule="auto"/>
        <w:ind w:left="709" w:hanging="709"/>
        <w:jc w:val="both"/>
        <w:rPr>
          <w:rFonts w:ascii="Arial" w:hAnsi="Arial" w:cs="Arial"/>
          <w:sz w:val="22"/>
          <w:szCs w:val="22"/>
        </w:rPr>
      </w:pPr>
    </w:p>
    <w:p w:rsidR="006C3CFC" w:rsidRDefault="006C3CFC" w:rsidP="00C178B3">
      <w:pPr>
        <w:spacing w:line="276" w:lineRule="auto"/>
        <w:ind w:left="709" w:hanging="709"/>
        <w:jc w:val="both"/>
        <w:rPr>
          <w:rFonts w:ascii="Arial" w:hAnsi="Arial" w:cs="Arial"/>
          <w:sz w:val="22"/>
          <w:szCs w:val="22"/>
        </w:rPr>
      </w:pPr>
    </w:p>
    <w:p w:rsidR="006C3CFC" w:rsidRDefault="006C3CFC" w:rsidP="00C178B3">
      <w:pPr>
        <w:spacing w:line="276" w:lineRule="auto"/>
        <w:ind w:left="709" w:hanging="709"/>
        <w:jc w:val="both"/>
        <w:rPr>
          <w:rFonts w:ascii="Arial" w:hAnsi="Arial" w:cs="Arial"/>
          <w:sz w:val="22"/>
          <w:szCs w:val="22"/>
        </w:rPr>
      </w:pPr>
    </w:p>
    <w:p w:rsidR="006C3CFC" w:rsidRDefault="006C3CFC" w:rsidP="00C178B3">
      <w:pPr>
        <w:spacing w:line="276" w:lineRule="auto"/>
        <w:ind w:left="709" w:hanging="709"/>
        <w:jc w:val="both"/>
        <w:rPr>
          <w:rFonts w:ascii="Arial" w:hAnsi="Arial" w:cs="Arial"/>
          <w:sz w:val="22"/>
          <w:szCs w:val="22"/>
        </w:rPr>
      </w:pPr>
    </w:p>
    <w:p w:rsidR="006C3CFC" w:rsidRDefault="006C3CFC" w:rsidP="00C178B3">
      <w:pPr>
        <w:spacing w:line="276" w:lineRule="auto"/>
        <w:ind w:left="709" w:hanging="709"/>
        <w:jc w:val="both"/>
        <w:rPr>
          <w:rFonts w:ascii="Arial" w:hAnsi="Arial" w:cs="Arial"/>
          <w:sz w:val="22"/>
          <w:szCs w:val="22"/>
        </w:rPr>
      </w:pPr>
    </w:p>
    <w:p w:rsidR="006C3CFC"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r w:rsidRPr="004E58AF">
        <w:rPr>
          <w:rFonts w:ascii="Arial" w:hAnsi="Arial" w:cs="Arial"/>
          <w:sz w:val="22"/>
          <w:szCs w:val="22"/>
        </w:rPr>
        <w:t>REAJUSTE SEGÚN IPC:</w:t>
      </w:r>
    </w:p>
    <w:p w:rsidR="006C3CFC" w:rsidRPr="004E58AF" w:rsidRDefault="006C3CFC" w:rsidP="00C178B3">
      <w:pPr>
        <w:numPr>
          <w:ilvl w:val="1"/>
          <w:numId w:val="1"/>
        </w:numPr>
        <w:spacing w:line="276" w:lineRule="auto"/>
        <w:ind w:left="709" w:hanging="709"/>
        <w:jc w:val="both"/>
        <w:rPr>
          <w:rFonts w:ascii="Arial" w:hAnsi="Arial" w:cs="Arial"/>
          <w:sz w:val="22"/>
          <w:szCs w:val="22"/>
        </w:rPr>
      </w:pPr>
      <w:r w:rsidRPr="004E58AF">
        <w:rPr>
          <w:rFonts w:ascii="Arial" w:hAnsi="Arial" w:cs="Arial"/>
          <w:sz w:val="22"/>
          <w:szCs w:val="22"/>
        </w:rPr>
        <w:t>El canon de arriendo se reajustará cada 6 meses de acuerdo al IPC. Y será informado el séptimo mes mediante un mail formal y carta que se dejará en el casillero de su edificio y el pago del arriendo con el nuevo valor deberá comenzar a pagar en el mes 8.</w:t>
      </w: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r w:rsidRPr="004E58AF">
        <w:rPr>
          <w:rFonts w:ascii="Arial" w:hAnsi="Arial" w:cs="Arial"/>
          <w:sz w:val="22"/>
          <w:szCs w:val="22"/>
        </w:rPr>
        <w:t>ARTEFACTOS ELECTRICOS:</w:t>
      </w:r>
    </w:p>
    <w:p w:rsidR="006C3CFC" w:rsidRPr="004E58AF" w:rsidRDefault="006C3CFC" w:rsidP="00C178B3">
      <w:pPr>
        <w:numPr>
          <w:ilvl w:val="1"/>
          <w:numId w:val="1"/>
        </w:numPr>
        <w:spacing w:line="276" w:lineRule="auto"/>
        <w:ind w:left="709" w:hanging="709"/>
        <w:jc w:val="both"/>
        <w:rPr>
          <w:rFonts w:ascii="Arial" w:hAnsi="Arial" w:cs="Arial"/>
          <w:sz w:val="22"/>
          <w:szCs w:val="22"/>
        </w:rPr>
      </w:pPr>
      <w:r w:rsidRPr="004E58AF">
        <w:rPr>
          <w:rFonts w:ascii="Arial" w:hAnsi="Arial" w:cs="Arial"/>
          <w:sz w:val="22"/>
          <w:szCs w:val="22"/>
        </w:rPr>
        <w:t>Todos los artefactos eléctricos (Cocina Eléctrica, Horno Eléctrico y Campana) son inventariados y probados previo a la entrega del departamento a cada arrendatario, por lo que sugerimos mantenerlos en buen estado de uso y limpieza, debido a que cualquier desperfecto que presenten posterior a la entrega, será de exclusiva responsabilidad del arrendatario su reparación.</w:t>
      </w:r>
    </w:p>
    <w:p w:rsidR="006C3CFC" w:rsidRPr="004E58AF" w:rsidRDefault="006C3CFC" w:rsidP="000F384E">
      <w:pPr>
        <w:spacing w:line="276" w:lineRule="auto"/>
        <w:jc w:val="both"/>
        <w:rPr>
          <w:rFonts w:ascii="Arial" w:hAnsi="Arial" w:cs="Arial"/>
          <w:sz w:val="22"/>
          <w:szCs w:val="22"/>
        </w:rPr>
      </w:pPr>
    </w:p>
    <w:p w:rsidR="006C3CFC" w:rsidRPr="004E58AF" w:rsidRDefault="006C3CFC" w:rsidP="004E58AF">
      <w:pPr>
        <w:spacing w:line="276" w:lineRule="auto"/>
        <w:jc w:val="both"/>
        <w:rPr>
          <w:rFonts w:ascii="Arial" w:hAnsi="Arial" w:cs="Arial"/>
          <w:sz w:val="22"/>
          <w:szCs w:val="22"/>
        </w:rPr>
      </w:pPr>
      <w:r w:rsidRPr="004E58AF">
        <w:rPr>
          <w:rFonts w:ascii="Arial" w:hAnsi="Arial" w:cs="Arial"/>
          <w:sz w:val="22"/>
          <w:szCs w:val="22"/>
        </w:rPr>
        <w:t>COMPROBANTE DE PAGO:</w:t>
      </w:r>
    </w:p>
    <w:p w:rsidR="006C3CFC" w:rsidRPr="004E58AF" w:rsidRDefault="006C3CFC" w:rsidP="00C178B3">
      <w:pPr>
        <w:numPr>
          <w:ilvl w:val="1"/>
          <w:numId w:val="1"/>
        </w:numPr>
        <w:spacing w:line="276" w:lineRule="auto"/>
        <w:ind w:left="709" w:hanging="709"/>
        <w:jc w:val="both"/>
        <w:rPr>
          <w:rFonts w:ascii="Arial" w:hAnsi="Arial" w:cs="Arial"/>
          <w:sz w:val="22"/>
          <w:szCs w:val="22"/>
        </w:rPr>
      </w:pPr>
      <w:r w:rsidRPr="004E58AF">
        <w:rPr>
          <w:rFonts w:ascii="Arial" w:hAnsi="Arial" w:cs="Arial"/>
          <w:sz w:val="22"/>
          <w:szCs w:val="22"/>
        </w:rPr>
        <w:t xml:space="preserve">Todos los 25 de cada mes será enviado un mail recordatorio a cada arrendatario con la fecha de pago del arriendo, señalando los antecedentes de cuenta corriente para efectuar los depósitos o transferencias, y por </w:t>
      </w:r>
      <w:r w:rsidRPr="004E58AF">
        <w:rPr>
          <w:rFonts w:ascii="Arial" w:hAnsi="Arial" w:cs="Arial"/>
          <w:b/>
          <w:sz w:val="22"/>
          <w:szCs w:val="22"/>
        </w:rPr>
        <w:t>sobre todo solicitando que se envíe la copia del depósito en el caso de los depósitos por caja</w:t>
      </w:r>
      <w:r w:rsidRPr="004E58AF">
        <w:rPr>
          <w:rFonts w:ascii="Arial" w:hAnsi="Arial" w:cs="Arial"/>
          <w:sz w:val="22"/>
          <w:szCs w:val="22"/>
        </w:rPr>
        <w:t>, para hacer la conciliación bancaria de su depósito, para no considerarlo en mora.</w:t>
      </w: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r w:rsidRPr="004E58AF">
        <w:rPr>
          <w:rFonts w:ascii="Arial" w:hAnsi="Arial" w:cs="Arial"/>
          <w:sz w:val="22"/>
          <w:szCs w:val="22"/>
        </w:rPr>
        <w:t xml:space="preserve">             POST VENTA:</w:t>
      </w:r>
    </w:p>
    <w:p w:rsidR="006C3CFC" w:rsidRPr="004E58AF" w:rsidRDefault="006C3CFC" w:rsidP="00C178B3">
      <w:pPr>
        <w:numPr>
          <w:ilvl w:val="1"/>
          <w:numId w:val="1"/>
        </w:numPr>
        <w:spacing w:line="276" w:lineRule="auto"/>
        <w:ind w:left="709" w:hanging="709"/>
        <w:jc w:val="both"/>
        <w:rPr>
          <w:rFonts w:ascii="Arial" w:hAnsi="Arial" w:cs="Arial"/>
          <w:sz w:val="22"/>
          <w:szCs w:val="22"/>
        </w:rPr>
      </w:pPr>
      <w:r w:rsidRPr="004E58AF">
        <w:rPr>
          <w:rFonts w:ascii="Arial" w:hAnsi="Arial" w:cs="Arial"/>
          <w:sz w:val="22"/>
          <w:szCs w:val="22"/>
        </w:rPr>
        <w:t xml:space="preserve">Para tener en cuenta, el procedimiento de solicitud de post venta de algún elemento del departamento es a través de la comunicación del problema al correo electrónico de </w:t>
      </w:r>
      <w:r>
        <w:rPr>
          <w:rFonts w:ascii="Arial" w:hAnsi="Arial" w:cs="Arial"/>
          <w:sz w:val="22"/>
          <w:szCs w:val="22"/>
        </w:rPr>
        <w:t>Esteban Caro</w:t>
      </w:r>
      <w:r w:rsidRPr="004E58AF">
        <w:rPr>
          <w:rFonts w:ascii="Arial" w:hAnsi="Arial" w:cs="Arial"/>
          <w:sz w:val="22"/>
          <w:szCs w:val="22"/>
        </w:rPr>
        <w:t xml:space="preserve"> ( </w:t>
      </w:r>
      <w:hyperlink r:id="rId7" w:history="1">
        <w:r w:rsidRPr="00797FC5">
          <w:rPr>
            <w:rStyle w:val="Hipervnculo"/>
            <w:rFonts w:ascii="Arial" w:hAnsi="Arial" w:cs="Arial"/>
            <w:sz w:val="22"/>
            <w:szCs w:val="22"/>
          </w:rPr>
          <w:t>ecaro@tycgestion.cl</w:t>
        </w:r>
      </w:hyperlink>
      <w:r>
        <w:rPr>
          <w:rFonts w:ascii="Arial" w:hAnsi="Arial" w:cs="Arial"/>
          <w:sz w:val="22"/>
          <w:szCs w:val="22"/>
        </w:rPr>
        <w:t xml:space="preserve"> </w:t>
      </w:r>
      <w:r w:rsidRPr="004E58AF">
        <w:rPr>
          <w:rFonts w:ascii="Arial" w:hAnsi="Arial" w:cs="Arial"/>
          <w:sz w:val="22"/>
          <w:szCs w:val="22"/>
        </w:rPr>
        <w:t xml:space="preserve"> ), el cual será gestionado con la gente de post venta de </w:t>
      </w:r>
      <w:smartTag w:uri="urn:schemas-microsoft-com:office:smarttags" w:element="PersonName">
        <w:smartTagPr>
          <w:attr w:name="ProductID" w:val="la Inmobiliaria"/>
        </w:smartTagPr>
        <w:r w:rsidRPr="004E58AF">
          <w:rPr>
            <w:rFonts w:ascii="Arial" w:hAnsi="Arial" w:cs="Arial"/>
            <w:sz w:val="22"/>
            <w:szCs w:val="22"/>
          </w:rPr>
          <w:t>la Inmobiliaria</w:t>
        </w:r>
      </w:smartTag>
      <w:r w:rsidRPr="004E58AF">
        <w:rPr>
          <w:rFonts w:ascii="Arial" w:hAnsi="Arial" w:cs="Arial"/>
          <w:sz w:val="22"/>
          <w:szCs w:val="22"/>
        </w:rPr>
        <w:t xml:space="preserve"> del edificio con copia a Ud., coordinando fechas y horarios de inspección y arreglo de los problemas que presente el departamento, y que no es responsabilidad del arrendatario.</w:t>
      </w: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4E58AF">
      <w:pPr>
        <w:spacing w:line="276" w:lineRule="auto"/>
        <w:ind w:left="709"/>
        <w:jc w:val="both"/>
        <w:rPr>
          <w:rFonts w:ascii="Arial" w:hAnsi="Arial" w:cs="Arial"/>
          <w:sz w:val="22"/>
          <w:szCs w:val="22"/>
        </w:rPr>
      </w:pPr>
      <w:r w:rsidRPr="004E58AF">
        <w:rPr>
          <w:rFonts w:ascii="Arial" w:hAnsi="Arial" w:cs="Arial"/>
          <w:sz w:val="22"/>
          <w:szCs w:val="22"/>
        </w:rPr>
        <w:t>Declaro haber leído todas estas recomendaciones y est</w:t>
      </w:r>
      <w:r>
        <w:rPr>
          <w:rFonts w:ascii="Arial" w:hAnsi="Arial" w:cs="Arial"/>
          <w:sz w:val="22"/>
          <w:szCs w:val="22"/>
        </w:rPr>
        <w:t xml:space="preserve">ar de acuerdo con ellas para el </w:t>
      </w:r>
      <w:r w:rsidRPr="004E58AF">
        <w:rPr>
          <w:rFonts w:ascii="Arial" w:hAnsi="Arial" w:cs="Arial"/>
          <w:sz w:val="22"/>
          <w:szCs w:val="22"/>
        </w:rPr>
        <w:t>correcto cumplimiento del contrato de arriendo.</w:t>
      </w: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bookmarkStart w:id="0" w:name="_GoBack"/>
      <w:bookmarkEnd w:id="0"/>
    </w:p>
    <w:p w:rsidR="006C3CFC" w:rsidRPr="004E58AF" w:rsidRDefault="006C3CFC" w:rsidP="00C178B3">
      <w:pPr>
        <w:spacing w:line="276" w:lineRule="auto"/>
        <w:ind w:left="709" w:hanging="709"/>
        <w:jc w:val="both"/>
        <w:rPr>
          <w:rFonts w:ascii="Arial" w:hAnsi="Arial" w:cs="Arial"/>
          <w:sz w:val="22"/>
          <w:szCs w:val="22"/>
        </w:rPr>
      </w:pPr>
    </w:p>
    <w:p w:rsidR="006C3CFC"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3D265F">
      <w:pPr>
        <w:spacing w:line="276" w:lineRule="auto"/>
        <w:ind w:left="709"/>
        <w:jc w:val="both"/>
        <w:rPr>
          <w:rFonts w:ascii="Arial" w:hAnsi="Arial" w:cs="Arial"/>
          <w:sz w:val="22"/>
          <w:szCs w:val="22"/>
        </w:rPr>
      </w:pPr>
      <w:r>
        <w:rPr>
          <w:rFonts w:ascii="Arial" w:hAnsi="Arial" w:cs="Arial"/>
          <w:sz w:val="22"/>
          <w:szCs w:val="22"/>
        </w:rPr>
        <w:t xml:space="preserve">      </w:t>
      </w:r>
      <w:r w:rsidRPr="004E58AF">
        <w:rPr>
          <w:rFonts w:ascii="Arial" w:hAnsi="Arial" w:cs="Arial"/>
          <w:sz w:val="22"/>
          <w:szCs w:val="22"/>
        </w:rPr>
        <w:t xml:space="preserve">___________________              </w:t>
      </w:r>
      <w:r>
        <w:rPr>
          <w:rFonts w:ascii="Arial" w:hAnsi="Arial" w:cs="Arial"/>
          <w:sz w:val="22"/>
          <w:szCs w:val="22"/>
        </w:rPr>
        <w:t xml:space="preserve">                        </w:t>
      </w:r>
      <w:r w:rsidRPr="004E58AF">
        <w:rPr>
          <w:rFonts w:ascii="Arial" w:hAnsi="Arial" w:cs="Arial"/>
          <w:sz w:val="22"/>
          <w:szCs w:val="22"/>
        </w:rPr>
        <w:t>__________________</w:t>
      </w:r>
    </w:p>
    <w:p w:rsidR="006C3CFC" w:rsidRPr="004E58AF" w:rsidRDefault="006C3CFC" w:rsidP="003D265F">
      <w:pPr>
        <w:spacing w:line="276" w:lineRule="auto"/>
        <w:ind w:left="709" w:hanging="1"/>
        <w:jc w:val="both"/>
        <w:rPr>
          <w:rFonts w:ascii="Arial" w:hAnsi="Arial" w:cs="Arial"/>
          <w:sz w:val="22"/>
          <w:szCs w:val="22"/>
        </w:rPr>
      </w:pPr>
      <w:r w:rsidRPr="004E58AF">
        <w:rPr>
          <w:rFonts w:ascii="Arial" w:hAnsi="Arial" w:cs="Arial"/>
          <w:sz w:val="22"/>
          <w:szCs w:val="22"/>
        </w:rPr>
        <w:t xml:space="preserve">         ARRENDATARIO                           </w:t>
      </w:r>
      <w:r>
        <w:rPr>
          <w:rFonts w:ascii="Arial" w:hAnsi="Arial" w:cs="Arial"/>
          <w:sz w:val="22"/>
          <w:szCs w:val="22"/>
        </w:rPr>
        <w:t xml:space="preserve">                 </w:t>
      </w:r>
      <w:r w:rsidRPr="004E58AF">
        <w:rPr>
          <w:rFonts w:ascii="Arial" w:hAnsi="Arial" w:cs="Arial"/>
          <w:sz w:val="22"/>
          <w:szCs w:val="22"/>
        </w:rPr>
        <w:t xml:space="preserve">TYC GESTION LTDA      </w:t>
      </w:r>
    </w:p>
    <w:p w:rsidR="00302978" w:rsidRDefault="00302978" w:rsidP="00302978">
      <w:pPr>
        <w:ind w:left="1080"/>
        <w:jc w:val="both"/>
        <w:rPr>
          <w:rFonts w:ascii="Arial" w:hAnsi="Arial" w:cs="Arial"/>
          <w:sz w:val="20"/>
          <w:szCs w:val="20"/>
        </w:rPr>
      </w:pPr>
    </w:p>
    <w:p w:rsidR="00302978" w:rsidRDefault="00302978" w:rsidP="00302978">
      <w:pPr>
        <w:ind w:left="1080"/>
        <w:jc w:val="both"/>
        <w:rPr>
          <w:rFonts w:ascii="Arial" w:hAnsi="Arial" w:cs="Arial"/>
          <w:sz w:val="20"/>
          <w:szCs w:val="20"/>
        </w:rPr>
      </w:pPr>
      <w:r>
        <w:rPr>
          <w:rFonts w:ascii="Arial" w:hAnsi="Arial" w:cs="Arial"/>
          <w:sz w:val="20"/>
          <w:szCs w:val="20"/>
        </w:rPr>
        <w:t xml:space="preserve">Nombre: </w:t>
      </w:r>
      <w:bookmarkStart w:id="1" w:name="mrc_nom_arr_1"/>
      <w:r w:rsidR="00296057" w:rsidRPr="00D02647">
        <w:rPr>
          <w:rFonts w:ascii="Arial" w:hAnsi="Arial" w:cs="Arial"/>
          <w:sz w:val="20"/>
          <w:szCs w:val="20"/>
        </w:rPr>
        <w:t>${@@nom-arr}</w:t>
      </w:r>
      <w:bookmarkEnd w:id="1"/>
      <w:r>
        <w:rPr>
          <w:rFonts w:ascii="Arial" w:hAnsi="Arial" w:cs="Arial"/>
          <w:sz w:val="20"/>
          <w:szCs w:val="20"/>
        </w:rPr>
        <w:t xml:space="preserve">                                                  </w:t>
      </w:r>
      <w:r>
        <w:rPr>
          <w:rFonts w:ascii="Arial" w:hAnsi="Arial" w:cs="Arial"/>
          <w:sz w:val="20"/>
          <w:szCs w:val="20"/>
        </w:rPr>
        <w:tab/>
      </w:r>
    </w:p>
    <w:p w:rsidR="006C3CFC" w:rsidRPr="004E58AF" w:rsidRDefault="00302978" w:rsidP="00302978">
      <w:pPr>
        <w:spacing w:line="276" w:lineRule="auto"/>
        <w:ind w:left="1080" w:hanging="709"/>
        <w:jc w:val="both"/>
        <w:rPr>
          <w:rFonts w:ascii="Arial" w:hAnsi="Arial" w:cs="Arial"/>
          <w:sz w:val="22"/>
          <w:szCs w:val="22"/>
        </w:rPr>
      </w:pPr>
      <w:r>
        <w:rPr>
          <w:rFonts w:ascii="Arial" w:hAnsi="Arial" w:cs="Arial"/>
          <w:sz w:val="20"/>
          <w:szCs w:val="20"/>
        </w:rPr>
        <w:t xml:space="preserve">            </w:t>
      </w:r>
      <w:r w:rsidRPr="003C60BE">
        <w:rPr>
          <w:rFonts w:ascii="Arial" w:hAnsi="Arial" w:cs="Arial"/>
          <w:sz w:val="20"/>
          <w:szCs w:val="20"/>
          <w:lang w:val="es-CL"/>
        </w:rPr>
        <w:t>Rut</w:t>
      </w:r>
      <w:r>
        <w:rPr>
          <w:rFonts w:ascii="Arial" w:hAnsi="Arial" w:cs="Arial"/>
          <w:sz w:val="20"/>
          <w:szCs w:val="20"/>
          <w:lang w:val="es-CL"/>
        </w:rPr>
        <w:t xml:space="preserve">: </w:t>
      </w:r>
      <w:r w:rsidR="000F4E94" w:rsidRPr="00D02647">
        <w:rPr>
          <w:rFonts w:ascii="Arial" w:hAnsi="Arial" w:cs="Arial"/>
          <w:sz w:val="20"/>
          <w:szCs w:val="20"/>
        </w:rPr>
        <w:t>${@@rut-arr}</w:t>
      </w:r>
      <w:r w:rsidRPr="003C60BE">
        <w:rPr>
          <w:rFonts w:ascii="Arial" w:hAnsi="Arial" w:cs="Arial"/>
          <w:sz w:val="20"/>
          <w:szCs w:val="20"/>
          <w:lang w:val="es-CL"/>
        </w:rPr>
        <w:tab/>
      </w:r>
      <w:r w:rsidRPr="003C60BE">
        <w:rPr>
          <w:rFonts w:ascii="Arial" w:hAnsi="Arial" w:cs="Arial"/>
          <w:sz w:val="20"/>
          <w:szCs w:val="20"/>
          <w:lang w:val="es-CL"/>
        </w:rPr>
        <w:tab/>
      </w:r>
    </w:p>
    <w:p w:rsidR="006C3CFC" w:rsidRPr="004E58AF" w:rsidRDefault="006C3CFC" w:rsidP="00C178B3">
      <w:pPr>
        <w:spacing w:line="276" w:lineRule="auto"/>
        <w:ind w:left="709" w:hanging="709"/>
        <w:jc w:val="both"/>
        <w:rPr>
          <w:rFonts w:ascii="Arial" w:hAnsi="Arial" w:cs="Arial"/>
          <w:sz w:val="22"/>
          <w:szCs w:val="22"/>
        </w:rPr>
      </w:pPr>
    </w:p>
    <w:p w:rsidR="006C3CFC" w:rsidRPr="004E58AF" w:rsidRDefault="006C3CFC" w:rsidP="00C178B3">
      <w:pPr>
        <w:spacing w:line="276" w:lineRule="auto"/>
        <w:ind w:left="709" w:hanging="709"/>
        <w:jc w:val="both"/>
        <w:rPr>
          <w:rFonts w:ascii="Arial" w:hAnsi="Arial" w:cs="Arial"/>
          <w:sz w:val="22"/>
          <w:szCs w:val="22"/>
        </w:rPr>
      </w:pPr>
    </w:p>
    <w:sectPr w:rsidR="006C3CFC" w:rsidRPr="004E58AF" w:rsidSect="00C178B3">
      <w:headerReference w:type="default" r:id="rId8"/>
      <w:footerReference w:type="default" r:id="rId9"/>
      <w:pgSz w:w="11907" w:h="16839" w:code="9"/>
      <w:pgMar w:top="1701"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D9F" w:rsidRDefault="008F3D9F">
      <w:r>
        <w:separator/>
      </w:r>
    </w:p>
  </w:endnote>
  <w:endnote w:type="continuationSeparator" w:id="1">
    <w:p w:rsidR="008F3D9F" w:rsidRDefault="008F3D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CFC" w:rsidRDefault="006C3CFC" w:rsidP="00F8400E">
    <w:pPr>
      <w:pStyle w:val="Encabezado"/>
      <w:jc w:val="center"/>
      <w:rPr>
        <w:b/>
        <w:sz w:val="16"/>
        <w:szCs w:val="16"/>
      </w:rPr>
    </w:pPr>
  </w:p>
  <w:p w:rsidR="006C3CFC" w:rsidRDefault="006C3CFC" w:rsidP="00F8400E">
    <w:pPr>
      <w:pStyle w:val="Encabezado"/>
      <w:pBdr>
        <w:top w:val="single" w:sz="4" w:space="1" w:color="auto"/>
      </w:pBdr>
      <w:jc w:val="center"/>
      <w:rPr>
        <w:b/>
        <w:sz w:val="16"/>
        <w:szCs w:val="16"/>
      </w:rPr>
    </w:pPr>
  </w:p>
  <w:p w:rsidR="006C3CFC" w:rsidRPr="001D44FC" w:rsidRDefault="006C3CFC" w:rsidP="00F8400E">
    <w:pPr>
      <w:pStyle w:val="Encabezado"/>
      <w:jc w:val="center"/>
      <w:rPr>
        <w:b/>
        <w:sz w:val="16"/>
        <w:szCs w:val="16"/>
      </w:rPr>
    </w:pPr>
    <w:r w:rsidRPr="001D44FC">
      <w:rPr>
        <w:b/>
        <w:sz w:val="16"/>
        <w:szCs w:val="16"/>
      </w:rPr>
      <w:t xml:space="preserve">Dr. Sotero del Río Nº </w:t>
    </w:r>
    <w:r>
      <w:rPr>
        <w:b/>
        <w:sz w:val="16"/>
        <w:szCs w:val="16"/>
      </w:rPr>
      <w:t>541</w:t>
    </w:r>
    <w:r w:rsidRPr="001D44FC">
      <w:rPr>
        <w:b/>
        <w:sz w:val="16"/>
        <w:szCs w:val="16"/>
      </w:rPr>
      <w:t xml:space="preserve"> Of </w:t>
    </w:r>
    <w:r>
      <w:rPr>
        <w:b/>
        <w:sz w:val="16"/>
        <w:szCs w:val="16"/>
      </w:rPr>
      <w:t>1022</w:t>
    </w:r>
  </w:p>
  <w:p w:rsidR="006C3CFC" w:rsidRPr="001D44FC" w:rsidRDefault="006C3CFC" w:rsidP="00F8400E">
    <w:pPr>
      <w:pStyle w:val="Encabezado"/>
      <w:jc w:val="center"/>
      <w:rPr>
        <w:sz w:val="16"/>
        <w:szCs w:val="16"/>
      </w:rPr>
    </w:pPr>
    <w:r w:rsidRPr="001D44FC">
      <w:rPr>
        <w:b/>
        <w:sz w:val="16"/>
        <w:szCs w:val="16"/>
      </w:rPr>
      <w:t>Fono</w:t>
    </w:r>
    <w:r>
      <w:rPr>
        <w:b/>
        <w:sz w:val="16"/>
        <w:szCs w:val="16"/>
      </w:rPr>
      <w:t>s</w:t>
    </w:r>
    <w:r w:rsidRPr="001D44FC">
      <w:rPr>
        <w:b/>
        <w:sz w:val="16"/>
        <w:szCs w:val="16"/>
      </w:rPr>
      <w:t>: (56-02) 6</w:t>
    </w:r>
    <w:r>
      <w:rPr>
        <w:b/>
        <w:sz w:val="16"/>
        <w:szCs w:val="16"/>
      </w:rPr>
      <w:t>6</w:t>
    </w:r>
    <w:r w:rsidRPr="001D44FC">
      <w:rPr>
        <w:b/>
        <w:sz w:val="16"/>
        <w:szCs w:val="16"/>
      </w:rPr>
      <w:t>2</w:t>
    </w:r>
    <w:r>
      <w:rPr>
        <w:b/>
        <w:sz w:val="16"/>
        <w:szCs w:val="16"/>
      </w:rPr>
      <w:t>1789 / 662 2957</w:t>
    </w:r>
  </w:p>
  <w:p w:rsidR="006C3CFC" w:rsidRDefault="006C3CF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D9F" w:rsidRDefault="008F3D9F">
      <w:r>
        <w:separator/>
      </w:r>
    </w:p>
  </w:footnote>
  <w:footnote w:type="continuationSeparator" w:id="1">
    <w:p w:rsidR="008F3D9F" w:rsidRDefault="008F3D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CFC" w:rsidRDefault="001800A5" w:rsidP="000F384E">
    <w:pPr>
      <w:pStyle w:val="Encabezado"/>
      <w:jc w:val="right"/>
      <w:rPr>
        <w:b/>
      </w:rPr>
    </w:pPr>
    <w:r>
      <w:rPr>
        <w:noProof/>
        <w:lang w:val="es-CL" w:eastAsia="es-CL"/>
      </w:rPr>
      <w:drawing>
        <wp:anchor distT="12192" distB="20574" distL="114300" distR="121158" simplePos="0" relativeHeight="251657728" behindDoc="0" locked="0" layoutInCell="1" allowOverlap="1">
          <wp:simplePos x="0" y="0"/>
          <wp:positionH relativeFrom="column">
            <wp:posOffset>4387850</wp:posOffset>
          </wp:positionH>
          <wp:positionV relativeFrom="paragraph">
            <wp:posOffset>-267462</wp:posOffset>
          </wp:positionV>
          <wp:extent cx="1085723" cy="1337056"/>
          <wp:effectExtent l="19050" t="0" r="127" b="0"/>
          <wp:wrapThrough wrapText="bothSides">
            <wp:wrapPolygon edited="0">
              <wp:start x="1516" y="0"/>
              <wp:lineTo x="-379" y="2154"/>
              <wp:lineTo x="-379" y="19696"/>
              <wp:lineTo x="1137" y="21235"/>
              <wp:lineTo x="1516" y="21235"/>
              <wp:lineTo x="19708" y="21235"/>
              <wp:lineTo x="20087" y="21235"/>
              <wp:lineTo x="21603" y="20004"/>
              <wp:lineTo x="21603" y="2154"/>
              <wp:lineTo x="20845" y="308"/>
              <wp:lineTo x="19708" y="0"/>
              <wp:lineTo x="1516" y="0"/>
            </wp:wrapPolygon>
          </wp:wrapThrough>
          <wp:docPr id="1" name="Imagen 1" descr="C:\Users\Usuario-TyC\Desktop\Ejecutivo\TC\TyC-Logo0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Usuario-TyC\Desktop\Ejecutivo\TC\TyC-Logo04.jpg"/>
                  <pic:cNvPicPr>
                    <a:picLocks noChangeAspect="1" noChangeArrowheads="1"/>
                  </pic:cNvPicPr>
                </pic:nvPicPr>
                <pic:blipFill>
                  <a:blip r:embed="rId1" cstate="print"/>
                  <a:srcRect/>
                  <a:stretch>
                    <a:fillRect/>
                  </a:stretch>
                </pic:blipFill>
                <pic:spPr bwMode="auto">
                  <a:xfrm>
                    <a:off x="0" y="0"/>
                    <a:ext cx="1085723" cy="1337056"/>
                  </a:xfrm>
                  <a:prstGeom prst="rect">
                    <a:avLst/>
                  </a:prstGeom>
                  <a:ln>
                    <a:noFill/>
                  </a:ln>
                  <a:effectLst>
                    <a:softEdge rad="112500"/>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417B6B"/>
    <w:multiLevelType w:val="hybridMultilevel"/>
    <w:tmpl w:val="2CF8AF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CF63358"/>
    <w:multiLevelType w:val="hybridMultilevel"/>
    <w:tmpl w:val="080275C4"/>
    <w:lvl w:ilvl="0" w:tplc="0C0A0001">
      <w:start w:val="1"/>
      <w:numFmt w:val="bullet"/>
      <w:lvlText w:val=""/>
      <w:lvlJc w:val="left"/>
      <w:pPr>
        <w:tabs>
          <w:tab w:val="num" w:pos="720"/>
        </w:tabs>
        <w:ind w:left="720" w:hanging="360"/>
      </w:pPr>
      <w:rPr>
        <w:rFonts w:ascii="Symbol" w:hAnsi="Symbol" w:hint="default"/>
      </w:rPr>
    </w:lvl>
    <w:lvl w:ilvl="1" w:tplc="86A2991E">
      <w:numFmt w:val="bullet"/>
      <w:lvlText w:val="-"/>
      <w:lvlJc w:val="left"/>
      <w:pPr>
        <w:tabs>
          <w:tab w:val="num" w:pos="1440"/>
        </w:tabs>
        <w:ind w:left="1440" w:hanging="360"/>
      </w:pPr>
      <w:rPr>
        <w:rFonts w:ascii="Times New Roman" w:eastAsia="Times New Roman" w:hAnsi="Times New Roman" w:hint="default"/>
      </w:rPr>
    </w:lvl>
    <w:lvl w:ilvl="2" w:tplc="0C0A000F">
      <w:start w:val="1"/>
      <w:numFmt w:val="decimal"/>
      <w:lvlText w:val="%3."/>
      <w:lvlJc w:val="left"/>
      <w:pPr>
        <w:tabs>
          <w:tab w:val="num" w:pos="2160"/>
        </w:tabs>
        <w:ind w:left="2160" w:hanging="360"/>
      </w:pPr>
      <w:rPr>
        <w:rFonts w:cs="Times New Roman" w:hint="default"/>
      </w:rPr>
    </w:lvl>
    <w:lvl w:ilvl="3" w:tplc="6116E84C">
      <w:start w:val="1"/>
      <w:numFmt w:val="lowerLetter"/>
      <w:lvlText w:val="%4)"/>
      <w:lvlJc w:val="left"/>
      <w:pPr>
        <w:ind w:left="2880" w:hanging="360"/>
      </w:pPr>
      <w:rPr>
        <w:rFonts w:cs="Times New Roman"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hdrShapeDefaults>
    <o:shapedefaults v:ext="edit" spidmax="12290"/>
  </w:hdrShapeDefaults>
  <w:footnotePr>
    <w:footnote w:id="0"/>
    <w:footnote w:id="1"/>
  </w:footnotePr>
  <w:endnotePr>
    <w:endnote w:id="0"/>
    <w:endnote w:id="1"/>
  </w:endnotePr>
  <w:compat/>
  <w:rsids>
    <w:rsidRoot w:val="00E2683A"/>
    <w:rsid w:val="00015895"/>
    <w:rsid w:val="00025D07"/>
    <w:rsid w:val="000338DF"/>
    <w:rsid w:val="00047074"/>
    <w:rsid w:val="00054E1D"/>
    <w:rsid w:val="00075568"/>
    <w:rsid w:val="00076A40"/>
    <w:rsid w:val="00085DA3"/>
    <w:rsid w:val="000A34F2"/>
    <w:rsid w:val="000A3C45"/>
    <w:rsid w:val="000B781E"/>
    <w:rsid w:val="000E0537"/>
    <w:rsid w:val="000E1F21"/>
    <w:rsid w:val="000F384E"/>
    <w:rsid w:val="000F4E94"/>
    <w:rsid w:val="00134B3E"/>
    <w:rsid w:val="0014700D"/>
    <w:rsid w:val="001625EF"/>
    <w:rsid w:val="00177A5B"/>
    <w:rsid w:val="001800A5"/>
    <w:rsid w:val="001973AD"/>
    <w:rsid w:val="0019778B"/>
    <w:rsid w:val="001C5C27"/>
    <w:rsid w:val="001D44FC"/>
    <w:rsid w:val="001E1394"/>
    <w:rsid w:val="001E3134"/>
    <w:rsid w:val="002141ED"/>
    <w:rsid w:val="002278CB"/>
    <w:rsid w:val="00235E00"/>
    <w:rsid w:val="0024113E"/>
    <w:rsid w:val="00251FB1"/>
    <w:rsid w:val="00253AE5"/>
    <w:rsid w:val="0025634C"/>
    <w:rsid w:val="00265559"/>
    <w:rsid w:val="00296057"/>
    <w:rsid w:val="002972F5"/>
    <w:rsid w:val="002A17EE"/>
    <w:rsid w:val="002B48A7"/>
    <w:rsid w:val="002D5607"/>
    <w:rsid w:val="002D5DF5"/>
    <w:rsid w:val="002F0747"/>
    <w:rsid w:val="00302978"/>
    <w:rsid w:val="003243AC"/>
    <w:rsid w:val="00334D75"/>
    <w:rsid w:val="00346A74"/>
    <w:rsid w:val="00364274"/>
    <w:rsid w:val="003B7CD0"/>
    <w:rsid w:val="003C60BE"/>
    <w:rsid w:val="003D265F"/>
    <w:rsid w:val="003F538C"/>
    <w:rsid w:val="003F58E2"/>
    <w:rsid w:val="00411BA6"/>
    <w:rsid w:val="00414BFC"/>
    <w:rsid w:val="00417054"/>
    <w:rsid w:val="00422234"/>
    <w:rsid w:val="00436049"/>
    <w:rsid w:val="004A3775"/>
    <w:rsid w:val="004D3A1D"/>
    <w:rsid w:val="004E58AF"/>
    <w:rsid w:val="00540EE3"/>
    <w:rsid w:val="005641CB"/>
    <w:rsid w:val="00565084"/>
    <w:rsid w:val="00573A09"/>
    <w:rsid w:val="005A310E"/>
    <w:rsid w:val="005B1EE1"/>
    <w:rsid w:val="005B6177"/>
    <w:rsid w:val="005C7166"/>
    <w:rsid w:val="005F319B"/>
    <w:rsid w:val="006207BF"/>
    <w:rsid w:val="006249F0"/>
    <w:rsid w:val="0063334D"/>
    <w:rsid w:val="0064045E"/>
    <w:rsid w:val="00652D4A"/>
    <w:rsid w:val="00664C63"/>
    <w:rsid w:val="00675E53"/>
    <w:rsid w:val="006A1C4D"/>
    <w:rsid w:val="006C306B"/>
    <w:rsid w:val="006C3CFC"/>
    <w:rsid w:val="006C5A39"/>
    <w:rsid w:val="006D2605"/>
    <w:rsid w:val="006D4A5C"/>
    <w:rsid w:val="006E2C03"/>
    <w:rsid w:val="00704940"/>
    <w:rsid w:val="0071749A"/>
    <w:rsid w:val="00752151"/>
    <w:rsid w:val="00762710"/>
    <w:rsid w:val="007836D8"/>
    <w:rsid w:val="00783B05"/>
    <w:rsid w:val="00797FC5"/>
    <w:rsid w:val="007C71DD"/>
    <w:rsid w:val="007D2D92"/>
    <w:rsid w:val="00821AD8"/>
    <w:rsid w:val="00823CA6"/>
    <w:rsid w:val="00826D2C"/>
    <w:rsid w:val="00830196"/>
    <w:rsid w:val="008410E3"/>
    <w:rsid w:val="008536F2"/>
    <w:rsid w:val="00860F9D"/>
    <w:rsid w:val="00873013"/>
    <w:rsid w:val="008818B5"/>
    <w:rsid w:val="008B039D"/>
    <w:rsid w:val="008F3D9F"/>
    <w:rsid w:val="00916DF1"/>
    <w:rsid w:val="00922C0F"/>
    <w:rsid w:val="00932522"/>
    <w:rsid w:val="0096137E"/>
    <w:rsid w:val="00964527"/>
    <w:rsid w:val="00987237"/>
    <w:rsid w:val="009964F3"/>
    <w:rsid w:val="009A625C"/>
    <w:rsid w:val="009C6800"/>
    <w:rsid w:val="009F41FC"/>
    <w:rsid w:val="00A048F7"/>
    <w:rsid w:val="00A24973"/>
    <w:rsid w:val="00A31445"/>
    <w:rsid w:val="00A464A0"/>
    <w:rsid w:val="00A54D1D"/>
    <w:rsid w:val="00A55727"/>
    <w:rsid w:val="00A55925"/>
    <w:rsid w:val="00A66EAF"/>
    <w:rsid w:val="00A827B0"/>
    <w:rsid w:val="00A84E69"/>
    <w:rsid w:val="00A91991"/>
    <w:rsid w:val="00AA4A20"/>
    <w:rsid w:val="00AB0E7F"/>
    <w:rsid w:val="00AC43F7"/>
    <w:rsid w:val="00AC5EC8"/>
    <w:rsid w:val="00B06D13"/>
    <w:rsid w:val="00B15F3A"/>
    <w:rsid w:val="00B34273"/>
    <w:rsid w:val="00B511F3"/>
    <w:rsid w:val="00B75533"/>
    <w:rsid w:val="00B767B5"/>
    <w:rsid w:val="00B96C4B"/>
    <w:rsid w:val="00BF720B"/>
    <w:rsid w:val="00C178B3"/>
    <w:rsid w:val="00C21CA4"/>
    <w:rsid w:val="00C276A0"/>
    <w:rsid w:val="00C76D5D"/>
    <w:rsid w:val="00C9783E"/>
    <w:rsid w:val="00CB031D"/>
    <w:rsid w:val="00CB45BA"/>
    <w:rsid w:val="00CC4306"/>
    <w:rsid w:val="00CC56F0"/>
    <w:rsid w:val="00CD1049"/>
    <w:rsid w:val="00CF68E2"/>
    <w:rsid w:val="00D02647"/>
    <w:rsid w:val="00D47E85"/>
    <w:rsid w:val="00D55A43"/>
    <w:rsid w:val="00D60E08"/>
    <w:rsid w:val="00DA0F43"/>
    <w:rsid w:val="00DA7CE2"/>
    <w:rsid w:val="00DB42CD"/>
    <w:rsid w:val="00DF2198"/>
    <w:rsid w:val="00E244F1"/>
    <w:rsid w:val="00E26650"/>
    <w:rsid w:val="00E2683A"/>
    <w:rsid w:val="00E34FDE"/>
    <w:rsid w:val="00E63A66"/>
    <w:rsid w:val="00EA0FA1"/>
    <w:rsid w:val="00EA1970"/>
    <w:rsid w:val="00ED2192"/>
    <w:rsid w:val="00ED4A4F"/>
    <w:rsid w:val="00EE56AA"/>
    <w:rsid w:val="00EF6686"/>
    <w:rsid w:val="00F172C2"/>
    <w:rsid w:val="00F22545"/>
    <w:rsid w:val="00F34DF7"/>
    <w:rsid w:val="00F45861"/>
    <w:rsid w:val="00F47F3D"/>
    <w:rsid w:val="00F55B37"/>
    <w:rsid w:val="00F6224C"/>
    <w:rsid w:val="00F8400E"/>
    <w:rsid w:val="00FB21F9"/>
    <w:rsid w:val="00FC01F3"/>
    <w:rsid w:val="00FD04CB"/>
    <w:rsid w:val="00FD0AED"/>
    <w:rsid w:val="00FE14B6"/>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5C27"/>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C7166"/>
    <w:pPr>
      <w:tabs>
        <w:tab w:val="center" w:pos="4252"/>
        <w:tab w:val="right" w:pos="8504"/>
      </w:tabs>
    </w:pPr>
  </w:style>
  <w:style w:type="paragraph" w:styleId="Piedepgina">
    <w:name w:val="footer"/>
    <w:basedOn w:val="Normal"/>
    <w:rsid w:val="005C7166"/>
    <w:pPr>
      <w:tabs>
        <w:tab w:val="center" w:pos="4252"/>
        <w:tab w:val="right" w:pos="8504"/>
      </w:tabs>
    </w:pPr>
  </w:style>
  <w:style w:type="paragraph" w:styleId="Textodeglobo">
    <w:name w:val="Balloon Text"/>
    <w:basedOn w:val="Normal"/>
    <w:semiHidden/>
    <w:rsid w:val="00B06D13"/>
    <w:rPr>
      <w:rFonts w:ascii="Tahoma" w:hAnsi="Tahoma" w:cs="Tahoma"/>
      <w:sz w:val="16"/>
      <w:szCs w:val="16"/>
    </w:rPr>
  </w:style>
  <w:style w:type="character" w:styleId="Hipervnculo">
    <w:name w:val="Hyperlink"/>
    <w:basedOn w:val="Fuentedeprrafopredeter"/>
    <w:rsid w:val="00ED2192"/>
    <w:rPr>
      <w:rFonts w:cs="Times New Roman"/>
      <w:color w:val="0000FF"/>
      <w:u w:val="single"/>
    </w:rPr>
  </w:style>
  <w:style w:type="paragraph" w:customStyle="1" w:styleId="Prrafodelista1">
    <w:name w:val="Párrafo de lista1"/>
    <w:basedOn w:val="Normal"/>
    <w:rsid w:val="002D5607"/>
    <w:pPr>
      <w:spacing w:after="200" w:line="276" w:lineRule="auto"/>
      <w:ind w:left="720"/>
      <w:contextualSpacing/>
    </w:pPr>
    <w:rPr>
      <w:rFonts w:ascii="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caro@tycgestion.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1036</Words>
  <Characters>5704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ANEXO CONTRATO: RECOMENDACIONES</vt:lpstr>
    </vt:vector>
  </TitlesOfParts>
  <Company>CAT</Company>
  <LinksUpToDate>false</LinksUpToDate>
  <CharactersWithSpaces>6727</CharactersWithSpaces>
  <SharedDoc>false</SharedDoc>
  <HLinks>
    <vt:vector size="6" baseType="variant">
      <vt:variant>
        <vt:i4>2228242</vt:i4>
      </vt:variant>
      <vt:variant>
        <vt:i4>0</vt:i4>
      </vt:variant>
      <vt:variant>
        <vt:i4>0</vt:i4>
      </vt:variant>
      <vt:variant>
        <vt:i4>5</vt:i4>
      </vt:variant>
      <vt:variant>
        <vt:lpwstr>mailto:ecaro@tycgestion.cl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CONTRATO: RECOMENDACIONES</dc:title>
  <dc:creator>POLOLINOS</dc:creator>
  <cp:lastModifiedBy>EBQ-SOFTWARE</cp:lastModifiedBy>
  <cp:revision>7</cp:revision>
  <cp:lastPrinted>2014-04-11T17:23:00Z</cp:lastPrinted>
  <dcterms:created xsi:type="dcterms:W3CDTF">2018-03-03T18:41:00Z</dcterms:created>
  <dcterms:modified xsi:type="dcterms:W3CDTF">2018-03-09T02:44:00Z</dcterms:modified>
</cp:coreProperties>
</file>